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pStyle w:val="2"/>
        <w:jc w:val="center"/>
        <w:rPr>
          <w:rFonts w:hint="eastAsia" w:ascii="黑体" w:hAnsi="黑体" w:eastAsia="黑体" w:cs="方正小标宋简体"/>
          <w:sz w:val="32"/>
          <w:szCs w:val="32"/>
          <w:highlight w:val="none"/>
        </w:rPr>
      </w:pPr>
      <w:r>
        <w:rPr>
          <w:rFonts w:hint="eastAsia" w:ascii="方正小标宋简体" w:hAnsi="方正小标宋简体" w:eastAsia="方正小标宋简体" w:cs="方正小标宋简体"/>
          <w:sz w:val="36"/>
          <w:szCs w:val="36"/>
          <w:highlight w:val="none"/>
          <w:lang w:eastAsia="zh-CN"/>
        </w:rPr>
        <w:t>四川</w:t>
      </w:r>
      <w:r>
        <w:rPr>
          <w:rFonts w:hint="eastAsia" w:ascii="方正小标宋简体" w:hAnsi="方正小标宋简体" w:eastAsia="方正小标宋简体" w:cs="方正小标宋简体"/>
          <w:sz w:val="36"/>
          <w:szCs w:val="36"/>
          <w:highlight w:val="none"/>
        </w:rPr>
        <w:t>省</w:t>
      </w:r>
      <w:r>
        <w:rPr>
          <w:rFonts w:hint="eastAsia" w:ascii="方正小标宋简体" w:hAnsi="方正小标宋简体" w:eastAsia="方正小标宋简体" w:cs="方正小标宋简体"/>
          <w:sz w:val="36"/>
          <w:szCs w:val="36"/>
          <w:highlight w:val="none"/>
          <w:lang w:eastAsia="zh-CN"/>
        </w:rPr>
        <w:t>“十四五”职业教育</w:t>
      </w:r>
      <w:r>
        <w:rPr>
          <w:rFonts w:hint="eastAsia" w:ascii="方正小标宋简体" w:hAnsi="方正小标宋简体" w:eastAsia="方正小标宋简体" w:cs="方正小标宋简体"/>
          <w:sz w:val="36"/>
          <w:szCs w:val="36"/>
          <w:highlight w:val="none"/>
        </w:rPr>
        <w:t>精品在线开放课程</w:t>
      </w:r>
      <w:r>
        <w:rPr>
          <w:rFonts w:hint="eastAsia" w:ascii="方正小标宋简体" w:hAnsi="方正小标宋简体" w:eastAsia="方正小标宋简体" w:cs="方正小标宋简体"/>
          <w:sz w:val="36"/>
          <w:szCs w:val="36"/>
          <w:highlight w:val="none"/>
          <w:lang w:eastAsia="zh-CN"/>
        </w:rPr>
        <w:t>认定</w:t>
      </w:r>
      <w:r>
        <w:rPr>
          <w:rFonts w:hint="eastAsia" w:ascii="方正小标宋简体" w:hAnsi="方正小标宋简体" w:eastAsia="方正小标宋简体" w:cs="方正小标宋简体"/>
          <w:sz w:val="36"/>
          <w:szCs w:val="36"/>
          <w:highlight w:val="none"/>
        </w:rPr>
        <w:t>标准</w:t>
      </w:r>
      <w:r>
        <w:rPr>
          <w:rFonts w:hint="eastAsia" w:ascii="方正小标宋简体" w:hAnsi="方正小标宋简体" w:eastAsia="方正小标宋简体" w:cs="方正小标宋简体"/>
          <w:sz w:val="36"/>
          <w:szCs w:val="36"/>
          <w:highlight w:val="none"/>
          <w:lang w:eastAsia="zh-CN"/>
        </w:rPr>
        <w:t>（试行）</w:t>
      </w:r>
    </w:p>
    <w:p>
      <w:pPr>
        <w:pStyle w:val="2"/>
        <w:jc w:val="left"/>
        <w:rPr>
          <w:rFonts w:ascii="黑体" w:hAnsi="黑体" w:eastAsia="黑体" w:cs="方正小标宋简体"/>
          <w:b/>
          <w:bCs/>
          <w:sz w:val="32"/>
          <w:szCs w:val="32"/>
          <w:highlight w:val="none"/>
        </w:rPr>
      </w:pPr>
      <w:r>
        <w:rPr>
          <w:rFonts w:hint="eastAsia" w:ascii="黑体" w:hAnsi="黑体" w:eastAsia="黑体" w:cs="方正小标宋简体"/>
          <w:b/>
          <w:bCs/>
          <w:sz w:val="32"/>
          <w:szCs w:val="32"/>
          <w:highlight w:val="none"/>
        </w:rPr>
        <w:t>一、否决性指标</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6673"/>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序号</w:t>
            </w:r>
          </w:p>
        </w:tc>
        <w:tc>
          <w:tcPr>
            <w:tcW w:w="6673"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内容</w:t>
            </w:r>
          </w:p>
        </w:tc>
        <w:tc>
          <w:tcPr>
            <w:tcW w:w="1573"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6673" w:type="dxa"/>
            <w:vAlign w:val="center"/>
          </w:tcPr>
          <w:p>
            <w:pPr>
              <w:pStyle w:val="2"/>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课程资格——申报材料不齐备</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6673" w:type="dxa"/>
            <w:vAlign w:val="center"/>
          </w:tcPr>
          <w:p>
            <w:pPr>
              <w:pStyle w:val="2"/>
              <w:jc w:val="left"/>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rPr>
              <w:t>课程资格——课程无法登录</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打开</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显示完整内容和教学活动</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课程资格——负责人非申报</w:t>
            </w:r>
            <w:r>
              <w:rPr>
                <w:rFonts w:hint="eastAsia" w:ascii="仿宋_GB2312" w:hAnsi="仿宋_GB2312" w:eastAsia="仿宋_GB2312" w:cs="仿宋_GB2312"/>
                <w:sz w:val="24"/>
                <w:highlight w:val="none"/>
                <w:lang w:eastAsia="zh-CN"/>
              </w:rPr>
              <w:t>学校</w:t>
            </w:r>
            <w:r>
              <w:rPr>
                <w:rFonts w:hint="eastAsia" w:ascii="仿宋_GB2312" w:hAnsi="仿宋_GB2312" w:eastAsia="仿宋_GB2312" w:cs="仿宋_GB2312"/>
                <w:sz w:val="24"/>
                <w:highlight w:val="none"/>
              </w:rPr>
              <w:t>正式聘任教师</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6673" w:type="dxa"/>
            <w:vAlign w:val="center"/>
          </w:tcPr>
          <w:p>
            <w:pPr>
              <w:pStyle w:val="2"/>
              <w:jc w:val="left"/>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rPr>
              <w:t>课程资格——教师无在线教学服</w:t>
            </w:r>
            <w:bookmarkStart w:id="0" w:name="_GoBack"/>
            <w:bookmarkEnd w:id="0"/>
            <w:r>
              <w:rPr>
                <w:rFonts w:hint="eastAsia" w:ascii="仿宋_GB2312" w:hAnsi="仿宋_GB2312" w:eastAsia="仿宋_GB2312" w:cs="仿宋_GB2312"/>
                <w:sz w:val="24"/>
                <w:highlight w:val="none"/>
              </w:rPr>
              <w:t>务</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5</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课程资格——</w:t>
            </w:r>
            <w:r>
              <w:rPr>
                <w:rFonts w:hint="eastAsia" w:ascii="仿宋_GB2312" w:hAnsi="仿宋_GB2312" w:eastAsia="仿宋_GB2312" w:cs="仿宋_GB2312"/>
                <w:sz w:val="24"/>
                <w:highlight w:val="none"/>
                <w:lang w:eastAsia="zh-CN"/>
              </w:rPr>
              <w:t>课程</w:t>
            </w:r>
            <w:r>
              <w:rPr>
                <w:rFonts w:hint="eastAsia" w:ascii="仿宋_GB2312" w:hAnsi="仿宋_GB2312" w:eastAsia="仿宋_GB2312" w:cs="仿宋_GB2312"/>
                <w:sz w:val="24"/>
                <w:highlight w:val="none"/>
              </w:rPr>
              <w:t>应用时间不足</w:t>
            </w:r>
            <w:r>
              <w:rPr>
                <w:rFonts w:hint="eastAsia" w:ascii="仿宋_GB2312" w:hAnsi="仿宋_GB2312" w:eastAsia="仿宋_GB2312" w:cs="仿宋_GB2312"/>
                <w:sz w:val="24"/>
                <w:highlight w:val="none"/>
                <w:lang w:eastAsia="zh-CN"/>
              </w:rPr>
              <w:t>二</w:t>
            </w:r>
            <w:r>
              <w:rPr>
                <w:rFonts w:hint="eastAsia" w:ascii="仿宋_GB2312" w:hAnsi="仿宋_GB2312" w:eastAsia="仿宋_GB2312" w:cs="仿宋_GB2312"/>
                <w:sz w:val="24"/>
                <w:highlight w:val="none"/>
              </w:rPr>
              <w:t>个学期</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6</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教师资格——课程负责人录制讲授本课程的视频时长少于20%。</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7</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课程内容——存在思想性或较严重的科学性问题</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8</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造假——材料、数据造假</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9</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侵权——发现且确认有侵权现象</w:t>
            </w:r>
          </w:p>
        </w:tc>
        <w:tc>
          <w:tcPr>
            <w:tcW w:w="1573"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1"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w:t>
            </w:r>
            <w:r>
              <w:rPr>
                <w:rFonts w:ascii="仿宋_GB2312" w:hAnsi="仿宋_GB2312" w:eastAsia="仿宋_GB2312" w:cs="仿宋_GB2312"/>
                <w:sz w:val="24"/>
                <w:highlight w:val="none"/>
              </w:rPr>
              <w:t>0</w:t>
            </w:r>
          </w:p>
        </w:tc>
        <w:tc>
          <w:tcPr>
            <w:tcW w:w="6673" w:type="dxa"/>
            <w:vAlign w:val="center"/>
          </w:tcPr>
          <w:p>
            <w:pPr>
              <w:pStyle w:val="2"/>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不适合网络传播——课程内容不适合网络公开传播</w:t>
            </w:r>
          </w:p>
        </w:tc>
        <w:tc>
          <w:tcPr>
            <w:tcW w:w="1573" w:type="dxa"/>
            <w:vAlign w:val="center"/>
          </w:tcPr>
          <w:p>
            <w:pPr>
              <w:pStyle w:val="2"/>
              <w:jc w:val="center"/>
              <w:rPr>
                <w:rFonts w:ascii="仿宋_GB2312" w:hAnsi="仿宋_GB2312" w:eastAsia="仿宋_GB2312" w:cs="仿宋_GB2312"/>
                <w:sz w:val="24"/>
                <w:highlight w:val="none"/>
              </w:rPr>
            </w:pPr>
          </w:p>
        </w:tc>
      </w:tr>
    </w:tbl>
    <w:p>
      <w:pPr>
        <w:pStyle w:val="2"/>
        <w:jc w:val="left"/>
        <w:rPr>
          <w:rFonts w:ascii="黑体" w:hAnsi="黑体" w:eastAsia="黑体" w:cs="方正小标宋简体"/>
          <w:b/>
          <w:bCs/>
          <w:sz w:val="32"/>
          <w:szCs w:val="32"/>
          <w:highlight w:val="none"/>
        </w:rPr>
      </w:pPr>
      <w:r>
        <w:rPr>
          <w:rFonts w:ascii="黑体" w:hAnsi="黑体" w:eastAsia="黑体" w:cs="方正小标宋简体"/>
          <w:b/>
          <w:bCs/>
          <w:sz w:val="32"/>
          <w:szCs w:val="32"/>
          <w:highlight w:val="none"/>
        </w:rPr>
        <w:t>二、</w:t>
      </w:r>
      <w:r>
        <w:rPr>
          <w:rFonts w:hint="eastAsia" w:ascii="黑体" w:hAnsi="黑体" w:eastAsia="黑体" w:cs="方正小标宋简体"/>
          <w:b/>
          <w:bCs/>
          <w:sz w:val="32"/>
          <w:szCs w:val="32"/>
          <w:highlight w:val="none"/>
        </w:rPr>
        <w:t>评审</w:t>
      </w:r>
      <w:r>
        <w:rPr>
          <w:rFonts w:ascii="黑体" w:hAnsi="黑体" w:eastAsia="黑体" w:cs="方正小标宋简体"/>
          <w:b/>
          <w:bCs/>
          <w:sz w:val="32"/>
          <w:szCs w:val="32"/>
          <w:highlight w:val="none"/>
        </w:rPr>
        <w:t>指标</w:t>
      </w:r>
    </w:p>
    <w:tbl>
      <w:tblPr>
        <w:tblStyle w:val="7"/>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486"/>
        <w:gridCol w:w="832"/>
        <w:gridCol w:w="417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266" w:type="dxa"/>
            <w:vAlign w:val="center"/>
          </w:tcPr>
          <w:p>
            <w:pPr>
              <w:pStyle w:val="2"/>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一级指标</w:t>
            </w:r>
          </w:p>
        </w:tc>
        <w:tc>
          <w:tcPr>
            <w:tcW w:w="1486" w:type="dxa"/>
            <w:vAlign w:val="center"/>
          </w:tcPr>
          <w:p>
            <w:pPr>
              <w:pStyle w:val="2"/>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二级指标</w:t>
            </w:r>
          </w:p>
        </w:tc>
        <w:tc>
          <w:tcPr>
            <w:tcW w:w="832" w:type="dxa"/>
            <w:vAlign w:val="center"/>
          </w:tcPr>
          <w:p>
            <w:pPr>
              <w:pStyle w:val="2"/>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权重</w:t>
            </w:r>
          </w:p>
        </w:tc>
        <w:tc>
          <w:tcPr>
            <w:tcW w:w="4179" w:type="dxa"/>
            <w:vAlign w:val="center"/>
          </w:tcPr>
          <w:p>
            <w:pPr>
              <w:pStyle w:val="2"/>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观察点</w:t>
            </w:r>
          </w:p>
        </w:tc>
        <w:tc>
          <w:tcPr>
            <w:tcW w:w="1276" w:type="dxa"/>
            <w:vAlign w:val="center"/>
          </w:tcPr>
          <w:p>
            <w:pPr>
              <w:pStyle w:val="2"/>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restart"/>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课程内容</w:t>
            </w:r>
          </w:p>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ascii="仿宋_GB2312" w:hAnsi="仿宋_GB2312" w:eastAsia="仿宋_GB2312" w:cs="仿宋_GB2312"/>
                <w:sz w:val="24"/>
                <w:highlight w:val="none"/>
              </w:rPr>
              <w:t>25</w:t>
            </w:r>
            <w:r>
              <w:rPr>
                <w:rFonts w:hint="eastAsia" w:ascii="仿宋_GB2312" w:hAnsi="仿宋_GB2312" w:eastAsia="仿宋_GB2312" w:cs="仿宋_GB2312"/>
                <w:sz w:val="24"/>
                <w:highlight w:val="none"/>
              </w:rPr>
              <w:t>分）</w:t>
            </w: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规范性</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8</w:t>
            </w:r>
          </w:p>
        </w:tc>
        <w:tc>
          <w:tcPr>
            <w:tcW w:w="4179" w:type="dxa"/>
          </w:tcPr>
          <w:p>
            <w:pPr>
              <w:pStyle w:val="2"/>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rPr>
              <w:t>课程定位准确，名称规范；课程知识体系完整，符合《高等职业学校专业教学标准》等要求，体现高职教育特色。（若课程内容不规范，不适合列入高职人才培养方案的，此项为 0 分；</w:t>
            </w:r>
            <w:r>
              <w:rPr>
                <w:rFonts w:hint="eastAsia" w:ascii="仿宋_GB2312" w:hAnsi="仿宋_GB2312" w:eastAsia="仿宋_GB2312" w:cs="仿宋_GB2312"/>
                <w:sz w:val="24"/>
                <w:highlight w:val="none"/>
                <w:lang w:eastAsia="zh-CN"/>
              </w:rPr>
              <w:t>）</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政治性</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5</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坚持立德树人，将思想政治教育内化为课程内容，弘扬社会主义核心价值观；课程内容先进、新颖，体现教改教研成果，注重运用知识和技能解决实际问题。（若存在思想性或较严重的科学性问题，此项为 0 分，请在否决性指标 </w:t>
            </w:r>
            <w:r>
              <w:rPr>
                <w:rFonts w:ascii="仿宋_GB2312" w:hAnsi="仿宋_GB2312" w:eastAsia="仿宋_GB2312" w:cs="仿宋_GB2312"/>
                <w:sz w:val="24"/>
                <w:highlight w:val="none"/>
              </w:rPr>
              <w:t>7</w:t>
            </w:r>
            <w:r>
              <w:rPr>
                <w:rFonts w:hint="eastAsia" w:ascii="仿宋_GB2312" w:hAnsi="仿宋_GB2312" w:eastAsia="仿宋_GB2312" w:cs="仿宋_GB2312"/>
                <w:sz w:val="24"/>
                <w:highlight w:val="none"/>
              </w:rPr>
              <w:t>中勾选，直接提交，结束评审，此课程为 0 分。）</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安全性</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5</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无危害国家安全，涉密及其他不适宜网络公开传播的内容，无侵犯他人知识产权内容。（若存在有不适合公开的课程内容或有确凿证据证明有侵权情况，此项为 0 分，请在否决性指标 </w:t>
            </w:r>
            <w:r>
              <w:rPr>
                <w:rFonts w:ascii="仿宋_GB2312" w:hAnsi="仿宋_GB2312" w:eastAsia="仿宋_GB2312" w:cs="仿宋_GB2312"/>
                <w:sz w:val="24"/>
                <w:highlight w:val="none"/>
              </w:rPr>
              <w:t>9</w:t>
            </w:r>
            <w:r>
              <w:rPr>
                <w:rFonts w:hint="eastAsia" w:ascii="仿宋_GB2312" w:hAnsi="仿宋_GB2312" w:eastAsia="仿宋_GB2312" w:cs="仿宋_GB2312"/>
                <w:sz w:val="24"/>
                <w:highlight w:val="none"/>
              </w:rPr>
              <w:t>、1</w:t>
            </w:r>
            <w:r>
              <w:rPr>
                <w:rFonts w:ascii="仿宋_GB2312" w:hAnsi="仿宋_GB2312" w:eastAsia="仿宋_GB2312" w:cs="仿宋_GB2312"/>
                <w:sz w:val="24"/>
                <w:highlight w:val="none"/>
              </w:rPr>
              <w:t>0</w:t>
            </w:r>
            <w:r>
              <w:rPr>
                <w:rFonts w:hint="eastAsia" w:ascii="仿宋_GB2312" w:hAnsi="仿宋_GB2312" w:eastAsia="仿宋_GB2312" w:cs="仿宋_GB2312"/>
                <w:sz w:val="24"/>
                <w:highlight w:val="none"/>
              </w:rPr>
              <w:t>中勾选，直接提交，结束评审，此课程为 0 分。）</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丰富性</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7</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教学资源丰富，教学形式多样，深浅度合理，网络教学技术灵活、适当。</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restart"/>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教学设计</w:t>
            </w:r>
          </w:p>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（30分）</w:t>
            </w: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合理性</w:t>
            </w:r>
          </w:p>
        </w:tc>
        <w:tc>
          <w:tcPr>
            <w:tcW w:w="832"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12</w:t>
            </w:r>
          </w:p>
        </w:tc>
        <w:tc>
          <w:tcPr>
            <w:tcW w:w="4179" w:type="dxa"/>
          </w:tcPr>
          <w:p>
            <w:pPr>
              <w:pStyle w:val="2"/>
              <w:rPr>
                <w:rFonts w:ascii="仿宋_GB2312" w:hAnsi="仿宋_GB2312" w:eastAsia="仿宋_GB2312" w:cs="仿宋_GB2312"/>
                <w:b/>
                <w:bCs/>
                <w:sz w:val="24"/>
                <w:highlight w:val="none"/>
              </w:rPr>
            </w:pPr>
            <w:r>
              <w:rPr>
                <w:rFonts w:hint="eastAsia" w:ascii="仿宋_GB2312" w:hAnsi="仿宋_GB2312" w:eastAsia="仿宋_GB2312" w:cs="仿宋_GB2312"/>
                <w:sz w:val="24"/>
                <w:highlight w:val="none"/>
              </w:rPr>
              <w:t>教学目标明确，教学方法得当，教学活动组织合理；校企合作开发，融入劳动教育、1+</w:t>
            </w:r>
            <w:r>
              <w:rPr>
                <w:rFonts w:hint="eastAsia" w:ascii="仿宋_GB2312" w:hAnsi="仿宋_GB2312" w:eastAsia="仿宋_GB2312" w:cs="仿宋_GB2312"/>
                <w:sz w:val="24"/>
                <w:highlight w:val="none"/>
                <w:lang w:val="en-US" w:eastAsia="zh-CN"/>
              </w:rPr>
              <w:t>X</w:t>
            </w:r>
            <w:r>
              <w:rPr>
                <w:rFonts w:hint="eastAsia" w:ascii="仿宋_GB2312" w:hAnsi="仿宋_GB2312" w:eastAsia="仿宋_GB2312" w:cs="仿宋_GB2312"/>
                <w:sz w:val="24"/>
                <w:highlight w:val="none"/>
              </w:rPr>
              <w:t>证书等学生素质培养，能激发学生的学习积极性和主动性，注重学习能力的培养；</w:t>
            </w:r>
            <w:r>
              <w:rPr>
                <w:rFonts w:hint="eastAsia" w:ascii="仿宋_GB2312" w:hAnsi="仿宋_GB2312" w:eastAsia="仿宋_GB2312" w:cs="仿宋_GB2312"/>
                <w:sz w:val="24"/>
                <w:highlight w:val="none"/>
                <w:lang w:eastAsia="zh-CN"/>
              </w:rPr>
              <w:t>原则上</w:t>
            </w:r>
            <w:r>
              <w:rPr>
                <w:rFonts w:hint="eastAsia" w:ascii="仿宋_GB2312" w:hAnsi="仿宋_GB2312" w:eastAsia="仿宋_GB2312" w:cs="仿宋_GB2312"/>
                <w:sz w:val="24"/>
                <w:highlight w:val="none"/>
              </w:rPr>
              <w:t>每学分总视频长度不低于240分钟，每个视频长度</w:t>
            </w:r>
            <w:r>
              <w:rPr>
                <w:rFonts w:hint="eastAsia" w:ascii="仿宋_GB2312" w:hAnsi="仿宋_GB2312" w:eastAsia="仿宋_GB2312" w:cs="仿宋_GB2312"/>
                <w:sz w:val="24"/>
                <w:highlight w:val="none"/>
                <w:lang w:val="en-US" w:eastAsia="zh-CN"/>
              </w:rPr>
              <w:t>10-20分钟</w:t>
            </w:r>
            <w:r>
              <w:rPr>
                <w:rFonts w:hint="eastAsia" w:ascii="仿宋_GB2312" w:hAnsi="仿宋_GB2312" w:eastAsia="仿宋_GB2312" w:cs="仿宋_GB2312"/>
                <w:sz w:val="24"/>
                <w:highlight w:val="none"/>
              </w:rPr>
              <w:t>。</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方向性</w:t>
            </w:r>
          </w:p>
        </w:tc>
        <w:tc>
          <w:tcPr>
            <w:tcW w:w="832"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10</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体现以学生为中心的教学思想，注重激发学生的学习积极性和主动性；适合在线学习、翻转课堂以及线上线下混合式教学模式的应用要求。</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创新性</w:t>
            </w:r>
          </w:p>
        </w:tc>
        <w:tc>
          <w:tcPr>
            <w:tcW w:w="832"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8</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在方法应用、技术应用、考试方式和教学组织某一方面有所创新；符合职业教育教学规律，反映行业、职业最新发展动态和成果。</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restart"/>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课程团队</w:t>
            </w:r>
          </w:p>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（10分）</w:t>
            </w: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负责人</w:t>
            </w:r>
          </w:p>
        </w:tc>
        <w:tc>
          <w:tcPr>
            <w:tcW w:w="832"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6</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在本课程专业领域有较高的专业技能或学术水平，教学经验丰富，教学水平高，在推进基于在线开放课的信息技术与教育教学深度融合的课程改革中投入精力大，有一定影响度。</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团队</w:t>
            </w:r>
          </w:p>
        </w:tc>
        <w:tc>
          <w:tcPr>
            <w:tcW w:w="832"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课程团队结构合理，至少有一名高级职称教师，主讲教师教学能力强，教学表现力强。</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restart"/>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教学支持</w:t>
            </w:r>
          </w:p>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w:t>
            </w:r>
            <w:r>
              <w:rPr>
                <w:rFonts w:ascii="仿宋_GB2312" w:hAnsi="仿宋_GB2312" w:eastAsia="仿宋_GB2312" w:cs="仿宋_GB2312"/>
                <w:sz w:val="24"/>
                <w:highlight w:val="none"/>
              </w:rPr>
              <w:t>5</w:t>
            </w:r>
            <w:r>
              <w:rPr>
                <w:rFonts w:hint="eastAsia" w:ascii="仿宋_GB2312" w:hAnsi="仿宋_GB2312" w:eastAsia="仿宋_GB2312" w:cs="仿宋_GB2312"/>
                <w:sz w:val="24"/>
                <w:highlight w:val="none"/>
              </w:rPr>
              <w:t>分）</w:t>
            </w: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团队服务</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8</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通过课程平台，教师按照教学计划与要求为学习者提供测验、作业、考试、答疑、讨论等教学活动，及时开展有效的在线指导与测评。（若教学团队成员未参与学习者答疑、讨论等教学活动，此项为 0 分。）</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学习者活动</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7</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学习者在线学习响应度高，师生互动活跃。</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restart"/>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应用情况</w:t>
            </w:r>
          </w:p>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ascii="仿宋_GB2312" w:hAnsi="仿宋_GB2312" w:eastAsia="仿宋_GB2312" w:cs="仿宋_GB2312"/>
                <w:sz w:val="24"/>
                <w:highlight w:val="none"/>
              </w:rPr>
              <w:t>20</w:t>
            </w:r>
            <w:r>
              <w:rPr>
                <w:rFonts w:hint="eastAsia" w:ascii="仿宋_GB2312" w:hAnsi="仿宋_GB2312" w:eastAsia="仿宋_GB2312" w:cs="仿宋_GB2312"/>
                <w:sz w:val="24"/>
                <w:highlight w:val="none"/>
              </w:rPr>
              <w:t>分）</w:t>
            </w: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应用前景</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5</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面向其他高校和社会学习者开放学习程度高。</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b/>
                <w:bCs/>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课程本校应用情况</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10</w:t>
            </w:r>
          </w:p>
        </w:tc>
        <w:tc>
          <w:tcPr>
            <w:tcW w:w="4179" w:type="dxa"/>
          </w:tcPr>
          <w:p>
            <w:pPr>
              <w:pStyle w:val="2"/>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至少在校级层面线上开放</w:t>
            </w:r>
            <w:r>
              <w:rPr>
                <w:rFonts w:hint="eastAsia" w:ascii="仿宋_GB2312" w:hAnsi="仿宋_GB2312" w:eastAsia="仿宋_GB2312" w:cs="仿宋_GB2312"/>
                <w:sz w:val="24"/>
                <w:highlight w:val="none"/>
                <w:lang w:eastAsia="zh-CN"/>
              </w:rPr>
              <w:t>二</w:t>
            </w:r>
            <w:r>
              <w:rPr>
                <w:rFonts w:hint="eastAsia" w:ascii="仿宋_GB2312" w:hAnsi="仿宋_GB2312" w:eastAsia="仿宋_GB2312" w:cs="仿宋_GB2312"/>
                <w:sz w:val="24"/>
                <w:highlight w:val="none"/>
              </w:rPr>
              <w:t>轮，并有</w:t>
            </w:r>
            <w:r>
              <w:rPr>
                <w:rFonts w:hint="eastAsia" w:ascii="仿宋_GB2312" w:hAnsi="仿宋_GB2312" w:eastAsia="仿宋_GB2312" w:cs="仿宋_GB2312"/>
                <w:sz w:val="24"/>
                <w:highlight w:val="none"/>
                <w:lang w:val="en-US" w:eastAsia="zh-CN"/>
              </w:rPr>
              <w:t>2000</w:t>
            </w:r>
            <w:r>
              <w:rPr>
                <w:rFonts w:hint="eastAsia" w:ascii="仿宋_GB2312" w:hAnsi="仿宋_GB2312" w:eastAsia="仿宋_GB2312" w:cs="仿宋_GB2312"/>
                <w:sz w:val="24"/>
                <w:highlight w:val="none"/>
              </w:rPr>
              <w:t>人以上的选课人数。（若未应用于本校课程改革，此项为 0 分）。</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continue"/>
            <w:vAlign w:val="center"/>
          </w:tcPr>
          <w:p>
            <w:pPr>
              <w:pStyle w:val="2"/>
              <w:jc w:val="center"/>
              <w:rPr>
                <w:rFonts w:ascii="仿宋_GB2312" w:hAnsi="仿宋_GB2312" w:eastAsia="仿宋_GB2312" w:cs="仿宋_GB2312"/>
                <w:b/>
                <w:bCs/>
                <w:sz w:val="24"/>
                <w:highlight w:val="none"/>
              </w:rPr>
            </w:pPr>
          </w:p>
        </w:tc>
        <w:tc>
          <w:tcPr>
            <w:tcW w:w="1486" w:type="dxa"/>
            <w:vAlign w:val="center"/>
          </w:tcPr>
          <w:p>
            <w:pPr>
              <w:pStyle w:val="2"/>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应用效果</w:t>
            </w:r>
          </w:p>
        </w:tc>
        <w:tc>
          <w:tcPr>
            <w:tcW w:w="832" w:type="dxa"/>
            <w:vAlign w:val="center"/>
          </w:tcPr>
          <w:p>
            <w:pPr>
              <w:pStyle w:val="2"/>
              <w:jc w:val="center"/>
              <w:rPr>
                <w:rFonts w:ascii="仿宋_GB2312" w:hAnsi="仿宋_GB2312" w:eastAsia="仿宋_GB2312" w:cs="仿宋_GB2312"/>
                <w:sz w:val="24"/>
                <w:highlight w:val="none"/>
              </w:rPr>
            </w:pPr>
            <w:r>
              <w:rPr>
                <w:rFonts w:ascii="仿宋_GB2312" w:hAnsi="仿宋_GB2312" w:eastAsia="仿宋_GB2312" w:cs="仿宋_GB2312"/>
                <w:sz w:val="24"/>
                <w:highlight w:val="none"/>
              </w:rPr>
              <w:t>5</w:t>
            </w:r>
          </w:p>
        </w:tc>
        <w:tc>
          <w:tcPr>
            <w:tcW w:w="4179" w:type="dxa"/>
          </w:tcPr>
          <w:p>
            <w:pPr>
              <w:pStyle w:val="2"/>
              <w:rPr>
                <w:rFonts w:ascii="仿宋_GB2312" w:hAnsi="仿宋_GB2312" w:eastAsia="仿宋_GB2312" w:cs="仿宋_GB2312"/>
                <w:sz w:val="24"/>
                <w:highlight w:val="none"/>
              </w:rPr>
            </w:pPr>
            <w:r>
              <w:rPr>
                <w:rFonts w:ascii="仿宋_GB2312" w:hAnsi="仿宋_GB2312" w:eastAsia="仿宋_GB2312" w:cs="仿宋_GB2312"/>
                <w:sz w:val="24"/>
                <w:highlight w:val="none"/>
              </w:rPr>
              <w:t>共享范围广，应用模式多样，应用效果好</w:t>
            </w:r>
            <w:r>
              <w:rPr>
                <w:rFonts w:hint="eastAsia" w:ascii="仿宋_GB2312" w:hAnsi="仿宋_GB2312" w:eastAsia="仿宋_GB2312" w:cs="仿宋_GB2312"/>
                <w:sz w:val="24"/>
                <w:highlight w:val="none"/>
              </w:rPr>
              <w:t>，具有实际应用效果的具体数据。</w:t>
            </w:r>
          </w:p>
        </w:tc>
        <w:tc>
          <w:tcPr>
            <w:tcW w:w="1276" w:type="dxa"/>
            <w:vAlign w:val="center"/>
          </w:tcPr>
          <w:p>
            <w:pPr>
              <w:pStyle w:val="2"/>
              <w:jc w:val="center"/>
              <w:rPr>
                <w:rFonts w:ascii="仿宋_GB2312" w:hAnsi="仿宋_GB2312" w:eastAsia="仿宋_GB2312" w:cs="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3584" w:type="dxa"/>
            <w:gridSpan w:val="3"/>
            <w:vAlign w:val="center"/>
          </w:tcPr>
          <w:p>
            <w:pPr>
              <w:pStyle w:val="2"/>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总得分：</w:t>
            </w:r>
          </w:p>
        </w:tc>
        <w:tc>
          <w:tcPr>
            <w:tcW w:w="4179" w:type="dxa"/>
            <w:vAlign w:val="center"/>
          </w:tcPr>
          <w:p>
            <w:pPr>
              <w:pStyle w:val="2"/>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评委签名：</w:t>
            </w:r>
          </w:p>
        </w:tc>
        <w:tc>
          <w:tcPr>
            <w:tcW w:w="1276" w:type="dxa"/>
            <w:vAlign w:val="center"/>
          </w:tcPr>
          <w:p>
            <w:pPr>
              <w:pStyle w:val="2"/>
              <w:jc w:val="center"/>
              <w:rPr>
                <w:rFonts w:ascii="仿宋_GB2312" w:hAnsi="仿宋_GB2312" w:eastAsia="仿宋_GB2312" w:cs="仿宋_GB2312"/>
                <w:sz w:val="24"/>
                <w:highlight w:val="none"/>
              </w:rPr>
            </w:pPr>
          </w:p>
        </w:tc>
      </w:tr>
    </w:tbl>
    <w:p>
      <w:pPr>
        <w:pStyle w:val="2"/>
        <w:rPr>
          <w:b/>
          <w:sz w:val="24"/>
          <w:highlight w:val="none"/>
        </w:rPr>
      </w:pPr>
    </w:p>
    <w:p>
      <w:pPr>
        <w:pStyle w:val="2"/>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注：7</w:t>
      </w:r>
      <w:r>
        <w:rPr>
          <w:rFonts w:ascii="仿宋_GB2312" w:hAnsi="仿宋_GB2312" w:eastAsia="仿宋_GB2312" w:cs="仿宋_GB2312"/>
          <w:b/>
          <w:sz w:val="24"/>
          <w:highlight w:val="none"/>
        </w:rPr>
        <w:t>0</w:t>
      </w:r>
      <w:r>
        <w:rPr>
          <w:rFonts w:hint="eastAsia" w:ascii="仿宋_GB2312" w:hAnsi="仿宋_GB2312" w:eastAsia="仿宋_GB2312" w:cs="仿宋_GB2312"/>
          <w:b/>
          <w:sz w:val="24"/>
          <w:highlight w:val="none"/>
        </w:rPr>
        <w:t>分以上符合认定资格。</w:t>
      </w:r>
    </w:p>
    <w:sectPr>
      <w:pgSz w:w="11907" w:h="16840"/>
      <w:pgMar w:top="1474" w:right="1588" w:bottom="1474" w:left="1588" w:header="720" w:footer="72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777A62-D6B7-41D7-9666-28B965D078D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8938160-9325-46DE-A6A9-DC6AF547D94E}"/>
  </w:font>
  <w:font w:name="方正小标宋简体">
    <w:panose1 w:val="02000000000000000000"/>
    <w:charset w:val="86"/>
    <w:family w:val="script"/>
    <w:pitch w:val="default"/>
    <w:sig w:usb0="00000001" w:usb1="08000000" w:usb2="00000000" w:usb3="00000000" w:csb0="00040000" w:csb1="00000000"/>
    <w:embedRegular r:id="rId3" w:fontKey="{D6F35E5B-834A-4D8E-8EDC-C965D62A374A}"/>
  </w:font>
  <w:font w:name="仿宋_GB2312">
    <w:panose1 w:val="02010609030101010101"/>
    <w:charset w:val="86"/>
    <w:family w:val="modern"/>
    <w:pitch w:val="default"/>
    <w:sig w:usb0="00000001" w:usb1="080E0000" w:usb2="00000000" w:usb3="00000000" w:csb0="00040000" w:csb1="00000000"/>
    <w:embedRegular r:id="rId4" w:fontKey="{B7201ED6-B75E-4B08-89ED-0B41EBC75BFB}"/>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42B18"/>
    <w:rsid w:val="00061C8E"/>
    <w:rsid w:val="000909C1"/>
    <w:rsid w:val="0033493D"/>
    <w:rsid w:val="00377FFE"/>
    <w:rsid w:val="00474117"/>
    <w:rsid w:val="00474F4E"/>
    <w:rsid w:val="00482538"/>
    <w:rsid w:val="004E7B56"/>
    <w:rsid w:val="00500E48"/>
    <w:rsid w:val="00503CD7"/>
    <w:rsid w:val="0054456F"/>
    <w:rsid w:val="00625CA9"/>
    <w:rsid w:val="00680FAC"/>
    <w:rsid w:val="00684FCC"/>
    <w:rsid w:val="007A569C"/>
    <w:rsid w:val="007B1876"/>
    <w:rsid w:val="008B2CA8"/>
    <w:rsid w:val="009D516B"/>
    <w:rsid w:val="00A02564"/>
    <w:rsid w:val="00BB74EA"/>
    <w:rsid w:val="00C17788"/>
    <w:rsid w:val="00D034DC"/>
    <w:rsid w:val="00D65730"/>
    <w:rsid w:val="00F837DC"/>
    <w:rsid w:val="00FC2BE7"/>
    <w:rsid w:val="07BF740E"/>
    <w:rsid w:val="085B43BF"/>
    <w:rsid w:val="08D737ED"/>
    <w:rsid w:val="0C7B3F3F"/>
    <w:rsid w:val="0DF85929"/>
    <w:rsid w:val="0F770873"/>
    <w:rsid w:val="0FC0507C"/>
    <w:rsid w:val="129B0043"/>
    <w:rsid w:val="1A5851F1"/>
    <w:rsid w:val="1B710361"/>
    <w:rsid w:val="1E4356BF"/>
    <w:rsid w:val="1F097759"/>
    <w:rsid w:val="2154401F"/>
    <w:rsid w:val="25742B18"/>
    <w:rsid w:val="2D93665A"/>
    <w:rsid w:val="2DF630F4"/>
    <w:rsid w:val="2F811CBD"/>
    <w:rsid w:val="329658E5"/>
    <w:rsid w:val="335630E4"/>
    <w:rsid w:val="3B686A1E"/>
    <w:rsid w:val="3C8250CF"/>
    <w:rsid w:val="40156E00"/>
    <w:rsid w:val="42DB3151"/>
    <w:rsid w:val="42F306BD"/>
    <w:rsid w:val="47E11CAD"/>
    <w:rsid w:val="483F021B"/>
    <w:rsid w:val="4A6C4E55"/>
    <w:rsid w:val="4BAE5F11"/>
    <w:rsid w:val="4D604CD0"/>
    <w:rsid w:val="4E412D46"/>
    <w:rsid w:val="510043C1"/>
    <w:rsid w:val="52B61296"/>
    <w:rsid w:val="59B16026"/>
    <w:rsid w:val="64C12008"/>
    <w:rsid w:val="66740F2C"/>
    <w:rsid w:val="6A670969"/>
    <w:rsid w:val="6C1F3946"/>
    <w:rsid w:val="6C511287"/>
    <w:rsid w:val="6F332142"/>
    <w:rsid w:val="71DC68E2"/>
    <w:rsid w:val="78C720D8"/>
    <w:rsid w:val="7DB1FC93"/>
    <w:rsid w:val="7FF1C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Balloon Text"/>
    <w:basedOn w:val="1"/>
    <w:link w:val="9"/>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basedOn w:val="8"/>
    <w:link w:val="3"/>
    <w:qFormat/>
    <w:uiPriority w:val="0"/>
    <w:rPr>
      <w:kern w:val="2"/>
      <w:sz w:val="18"/>
      <w:szCs w:val="18"/>
    </w:rPr>
  </w:style>
  <w:style w:type="character" w:customStyle="1" w:styleId="10">
    <w:name w:val="页眉 字符"/>
    <w:basedOn w:val="8"/>
    <w:link w:val="5"/>
    <w:qFormat/>
    <w:uiPriority w:val="0"/>
    <w:rPr>
      <w:kern w:val="2"/>
      <w:sz w:val="18"/>
      <w:szCs w:val="18"/>
    </w:rPr>
  </w:style>
  <w:style w:type="character" w:customStyle="1" w:styleId="11">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213</Words>
  <Characters>1218</Characters>
  <Lines>10</Lines>
  <Paragraphs>2</Paragraphs>
  <TotalTime>13</TotalTime>
  <ScaleCrop>false</ScaleCrop>
  <LinksUpToDate>false</LinksUpToDate>
  <CharactersWithSpaces>1429</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2019-04-17T00:05:00Z</dcterms:created>
  <dc:creator>星空</dc:creator>
  <cp:lastModifiedBy>陈志国</cp:lastModifiedBy>
  <cp:lastPrinted>2019-06-04T18:56:00Z</cp:lastPrinted>
  <dcterms:modified xsi:type="dcterms:W3CDTF">2022-01-10T08:07:30Z</dcterms:modified>
  <dc:title>附件2</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y fmtid="{D5CDD505-2E9C-101B-9397-08002B2CF9AE}" pid="3" name="ICV">
    <vt:lpwstr>2C3AF5C669054B6499121066CFF34712</vt:lpwstr>
  </property>
</Properties>
</file>